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sz w:val="36"/>
          <w:szCs w:val="36"/>
          <w:vertAlign w:val="subscript"/>
        </w:rPr>
        <w:drawing>
          <wp:inline distB="0" distT="0" distL="114300" distR="114300">
            <wp:extent cx="571500" cy="550228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502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widowControl w:val="0"/>
        <w:tabs>
          <w:tab w:val="center" w:pos="4505"/>
          <w:tab w:val="left" w:pos="6690"/>
        </w:tabs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MINISTÉRIO DA EDUCAÇÃO</w:t>
      </w:r>
    </w:p>
    <w:p w:rsidR="00000000" w:rsidDel="00000000" w:rsidP="00000000" w:rsidRDefault="00000000" w:rsidRPr="00000000" w14:paraId="00000002">
      <w:pPr>
        <w:widowControl w:val="0"/>
        <w:contextualSpacing w:val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3">
      <w:pPr>
        <w:widowControl w:val="0"/>
        <w:contextualSpacing w:val="0"/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INSTITUTO FEDERAL DE EDUCAÇÃO, CIÊNCIA E TECNOLOGIA DE MINAS GERAIS</w:t>
      </w:r>
    </w:p>
    <w:p w:rsidR="00000000" w:rsidDel="00000000" w:rsidP="00000000" w:rsidRDefault="00000000" w:rsidRPr="00000000" w14:paraId="00000004">
      <w:pPr>
        <w:widowControl w:val="0"/>
        <w:contextualSpacing w:val="0"/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6"/>
          <w:szCs w:val="16"/>
          <w:rtl w:val="0"/>
        </w:rPr>
        <w:t xml:space="preserve">CAMPUS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AVANÇADO PONTE NOVA</w:t>
      </w:r>
    </w:p>
    <w:p w:rsidR="00000000" w:rsidDel="00000000" w:rsidP="00000000" w:rsidRDefault="00000000" w:rsidRPr="00000000" w14:paraId="00000005">
      <w:pPr>
        <w:widowControl w:val="0"/>
        <w:contextualSpacing w:val="0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Praça José Emiliano Dias, nº. 87. Bairro Centro, Ponte Nova, CEP 35430-034, Estado de Minas Gerais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spacing w:after="120" w:line="360" w:lineRule="auto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ANEXO IV</w:t>
      </w:r>
    </w:p>
    <w:p w:rsidR="00000000" w:rsidDel="00000000" w:rsidP="00000000" w:rsidRDefault="00000000" w:rsidRPr="00000000" w14:paraId="00000008">
      <w:pPr>
        <w:pStyle w:val="Title"/>
        <w:spacing w:after="120" w:line="360" w:lineRule="auto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PLANO DE TRABALHO (NÚMERO DO PLANO)*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PROJETO DE EXTENSÃO NA LINHA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ESPORTE E LAZER DO IFMG -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AVANÇADO PONTE NOVA</w:t>
      </w:r>
    </w:p>
    <w:p w:rsidR="00000000" w:rsidDel="00000000" w:rsidP="00000000" w:rsidRDefault="00000000" w:rsidRPr="00000000" w14:paraId="0000000B">
      <w:pPr>
        <w:contextualSpacing w:val="0"/>
        <w:jc w:val="right"/>
        <w:rPr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jc w:val="right"/>
        <w:rPr>
          <w:color w:val="ff0000"/>
          <w:sz w:val="22"/>
          <w:szCs w:val="22"/>
        </w:rPr>
      </w:pPr>
      <w:r w:rsidDel="00000000" w:rsidR="00000000" w:rsidRPr="00000000">
        <w:rPr>
          <w:color w:val="ff0000"/>
          <w:sz w:val="18"/>
          <w:szCs w:val="18"/>
          <w:rtl w:val="0"/>
        </w:rPr>
        <w:t xml:space="preserve">* Um plano de trabalho por bolsista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contextualSpacing w:val="0"/>
        <w:jc w:val="right"/>
        <w:rPr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jc w:val="right"/>
        <w:rPr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="360" w:lineRule="auto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TÍTULO DO PROJETO: </w:t>
      </w:r>
    </w:p>
    <w:p w:rsidR="00000000" w:rsidDel="00000000" w:rsidP="00000000" w:rsidRDefault="00000000" w:rsidRPr="00000000" w14:paraId="00000010">
      <w:pPr>
        <w:spacing w:line="360" w:lineRule="auto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MODALIDADE DE BOLSA: </w:t>
      </w:r>
    </w:p>
    <w:tbl>
      <w:tblPr>
        <w:tblStyle w:val="Table1"/>
        <w:tblW w:w="47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6"/>
        <w:gridCol w:w="2410"/>
        <w:tblGridChange w:id="0">
          <w:tblGrid>
            <w:gridCol w:w="2376"/>
            <w:gridCol w:w="2410"/>
          </w:tblGrid>
        </w:tblGridChange>
      </w:tblGrid>
      <w:tr>
        <w:tc>
          <w:tcPr/>
          <w:p w:rsidR="00000000" w:rsidDel="00000000" w:rsidP="00000000" w:rsidRDefault="00000000" w:rsidRPr="00000000" w14:paraId="00000011">
            <w:pPr>
              <w:spacing w:line="360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) PIBEX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) PIBEX JR.</w:t>
            </w:r>
          </w:p>
        </w:tc>
      </w:tr>
    </w:tbl>
    <w:p w:rsidR="00000000" w:rsidDel="00000000" w:rsidP="00000000" w:rsidRDefault="00000000" w:rsidRPr="00000000" w14:paraId="00000013">
      <w:pPr>
        <w:spacing w:line="360" w:lineRule="auto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18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64"/>
        <w:gridCol w:w="383"/>
        <w:gridCol w:w="383"/>
        <w:gridCol w:w="383"/>
        <w:gridCol w:w="383"/>
        <w:gridCol w:w="383"/>
        <w:gridCol w:w="383"/>
        <w:gridCol w:w="383"/>
        <w:gridCol w:w="408"/>
        <w:gridCol w:w="383"/>
        <w:gridCol w:w="383"/>
        <w:tblGridChange w:id="0">
          <w:tblGrid>
            <w:gridCol w:w="4664"/>
            <w:gridCol w:w="383"/>
            <w:gridCol w:w="383"/>
            <w:gridCol w:w="383"/>
            <w:gridCol w:w="383"/>
            <w:gridCol w:w="383"/>
            <w:gridCol w:w="383"/>
            <w:gridCol w:w="383"/>
            <w:gridCol w:w="408"/>
            <w:gridCol w:w="383"/>
            <w:gridCol w:w="383"/>
          </w:tblGrid>
        </w:tblGridChange>
      </w:tblGrid>
      <w:tr>
        <w:trPr>
          <w:trHeight w:val="520" w:hRule="atLeast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pStyle w:val="Heading1"/>
              <w:spacing w:after="0" w:before="0"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Ações/Atividades</w:t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017">
            <w:pPr>
              <w:pStyle w:val="Heading2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MESES</w:t>
            </w:r>
          </w:p>
        </w:tc>
      </w:tr>
      <w:tr>
        <w:trPr>
          <w:trHeight w:val="1860" w:hRule="atLeast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pStyle w:val="Heading1"/>
              <w:spacing w:after="0" w:before="0"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ind w:left="113" w:right="113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ind w:left="113" w:right="113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ind w:left="113" w:right="113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ind w:left="113" w:right="113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ind w:left="113" w:right="113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ind w:left="113" w:right="113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ind w:left="113" w:right="113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ind w:left="113" w:right="113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ind w:left="113" w:right="113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113" w:right="113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2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ind w:left="113" w:right="113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ind w:left="113" w:right="113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ind w:left="113" w:right="113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ind w:left="113" w:right="113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ind w:left="113" w:right="113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ind w:left="113" w:right="113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ind w:left="113" w:right="113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ind w:left="113" w:right="113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ind w:left="113" w:right="113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ind w:left="113" w:right="113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3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ind w:left="113" w:right="113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ind w:left="113" w:right="113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ind w:left="113" w:right="113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ind w:left="113" w:right="113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ind w:left="113" w:right="113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ind w:left="113" w:right="113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ind w:left="113" w:right="113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ind w:left="113" w:right="113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ind w:left="113" w:right="113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ind w:left="113" w:right="113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4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ind w:left="113" w:right="113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ind w:left="113" w:right="113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ind w:left="113" w:right="113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ind w:left="113" w:right="113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ind w:left="113" w:right="113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ind w:left="113" w:right="113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ind w:left="113" w:right="113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ind w:left="113" w:right="113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ind w:left="113" w:right="113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ind w:left="113" w:right="113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4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5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6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6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7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8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8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ind w:left="113" w:right="113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spacing w:line="360" w:lineRule="auto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120" w:line="360" w:lineRule="auto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120" w:line="360" w:lineRule="auto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120" w:line="360" w:lineRule="auto"/>
        <w:contextualSpacing w:val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40" w:w="11907"/>
      <w:pgMar w:bottom="1134" w:top="1134" w:left="1134" w:right="1435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contextualSpacing w:val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contextualSpacing w:val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contextualSpacing w:val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708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8"/>
        <w:szCs w:val="28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40" w:before="40" w:line="360" w:lineRule="auto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