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CRONOGRAMA DE AÇÕES DO PROJETO</w:t>
      </w:r>
    </w:p>
    <w:p w:rsidR="00000000" w:rsidDel="00000000" w:rsidP="00000000" w:rsidRDefault="00000000" w:rsidRPr="00000000" w14:paraId="00000004">
      <w:pPr>
        <w:shd w:fill="ffffff" w:val="clear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Edital de Fluxo Contínuo de Projetos de Ensino do </w:t>
      </w:r>
      <w:r w:rsidDel="00000000" w:rsidR="00000000" w:rsidRPr="00000000">
        <w:rPr>
          <w:b w:val="1"/>
          <w:i w:val="1"/>
          <w:rtl w:val="0"/>
        </w:rPr>
        <w:t xml:space="preserve">campus</w:t>
      </w:r>
      <w:r w:rsidDel="00000000" w:rsidR="00000000" w:rsidRPr="00000000">
        <w:rPr>
          <w:b w:val="1"/>
          <w:rtl w:val="0"/>
        </w:rPr>
        <w:t xml:space="preserve"> Sabará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-8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Carga horária (Responsável)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Carga horária (Colaboradores)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Carga horária (Discentes voluntários)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9.000000000004" w:type="dxa"/>
        <w:jc w:val="left"/>
        <w:tblInd w:w="-855.9999999999999" w:type="dxa"/>
        <w:tblLayout w:type="fixed"/>
        <w:tblLook w:val="0000"/>
      </w:tblPr>
      <w:tblGrid>
        <w:gridCol w:w="624"/>
        <w:gridCol w:w="32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624"/>
            <w:gridCol w:w="3231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trHeight w:val="283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AÇÕES A SEREM DESENVOLVIDAS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right="113"/>
              <w:jc w:val="center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2"/>
                <w:szCs w:val="12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/>
      <w:drawing>
        <wp:inline distB="0" distT="0" distL="114300" distR="114300">
          <wp:extent cx="723265" cy="723265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38"/>
      </w:tabs>
      <w:spacing w:line="240" w:lineRule="auto"/>
      <w:ind w:left="0"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INSTITUTO FEDERAL DE EDUCAÇÃO, CIÊNCIA E TECNOLOGIA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819"/>
        <w:tab w:val="right" w:pos="9638"/>
      </w:tabs>
      <w:spacing w:line="240" w:lineRule="auto"/>
      <w:ind w:left="0"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16"/>
        <w:szCs w:val="16"/>
        <w:rtl w:val="0"/>
      </w:rPr>
      <w:t xml:space="preserve">CAMPUS 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SABARÁ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pos="4252"/>
        <w:tab w:val="right" w:pos="8504"/>
      </w:tabs>
      <w:spacing w:line="240" w:lineRule="auto"/>
      <w:ind w:left="0"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Endereço: Rodovia MGC 262, s/n, bairro Sobradinho – Sabará – Minas Gerais – CEP: 34.515-640 – Tel.: 31 3674-1560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highlight w:val="white"/>
        <w:lang w:val="pt-BR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D81D36"/>
    <w:pPr>
      <w:autoSpaceDN w:val="0"/>
      <w:spacing w:after="0" w:line="1" w:lineRule="atLeast"/>
      <w:ind w:left="-1" w:leftChars="-1" w:hanging="1" w:hangingChars="1"/>
      <w:textDirection w:val="btLr"/>
      <w:textAlignment w:val="baseline"/>
      <w:outlineLvl w:val="0"/>
    </w:pPr>
    <w:rPr>
      <w:rFonts w:ascii="Calibri" w:cs="Calibri" w:eastAsia="Calibri" w:hAnsi="Calibri"/>
      <w:color w:val="000000"/>
      <w:kern w:val="3"/>
      <w:position w:val="-1"/>
      <w:highlight w:val="white"/>
      <w:shd w:color="auto" w:fill="ffffff" w:val="clear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81D36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styleId="CabealhoChar" w:customStyle="1">
    <w:name w:val="Cabeçalho Char"/>
    <w:basedOn w:val="Fontepargpadro"/>
    <w:link w:val="Cabealho"/>
    <w:uiPriority w:val="99"/>
    <w:rsid w:val="00D81D36"/>
    <w:rPr>
      <w:rFonts w:ascii="Calibri" w:cs="Mangal" w:eastAsia="Calibri" w:hAnsi="Calibri"/>
      <w:color w:val="000000"/>
      <w:kern w:val="3"/>
      <w:position w:val="-1"/>
      <w:szCs w:val="20"/>
      <w:highlight w:val="white"/>
      <w:lang w:bidi="hi-IN" w:eastAsia="zh-CN"/>
    </w:rPr>
  </w:style>
  <w:style w:type="paragraph" w:styleId="Rodap">
    <w:name w:val="footer"/>
    <w:basedOn w:val="Normal"/>
    <w:link w:val="RodapChar"/>
    <w:uiPriority w:val="99"/>
    <w:unhideWhenUsed w:val="1"/>
    <w:rsid w:val="00D81D36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styleId="RodapChar" w:customStyle="1">
    <w:name w:val="Rodapé Char"/>
    <w:basedOn w:val="Fontepargpadro"/>
    <w:link w:val="Rodap"/>
    <w:uiPriority w:val="99"/>
    <w:rsid w:val="00D81D36"/>
    <w:rPr>
      <w:rFonts w:ascii="Calibri" w:cs="Mangal" w:eastAsia="Calibri" w:hAnsi="Calibri"/>
      <w:color w:val="000000"/>
      <w:kern w:val="3"/>
      <w:position w:val="-1"/>
      <w:szCs w:val="20"/>
      <w:highlight w:val="whit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5S2D9G0jxFXoZ5P37VaxY0UywA==">AMUW2mUXaypwL/Z4xQCYvjh19BECRJmAfj73YuVAkiDxpftqhx0+aOK87+YAOQXgeoHk2uGaViK99YfICxf9scq48pKhLsyeGaVzbdxYmt82Vw8tjmmIHzy8TGznt5HFAF8It7/bNAxD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2020-04-01T20:48:00Z</dcterms:created>
  <dc:creator>Jose Marcello Salles Giffone</dc:creator>
</cp:coreProperties>
</file>